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1C0" w:rsidRPr="003611C0" w:rsidRDefault="003611C0" w:rsidP="003611C0">
      <w:pPr>
        <w:rPr>
          <w:rStyle w:val="Heading2Char"/>
        </w:rPr>
      </w:pPr>
      <w:bookmarkStart w:id="0" w:name="_GoBack"/>
      <w:bookmarkEnd w:id="0"/>
      <w:r w:rsidRPr="003611C0">
        <w:rPr>
          <w:rStyle w:val="Heading2Char"/>
        </w:rPr>
        <w:t>Section 6 – Fueling Infrastructure Project Budget and Budget Justification</w:t>
      </w:r>
    </w:p>
    <w:p w:rsidR="003611C0" w:rsidRDefault="003611C0" w:rsidP="003611C0">
      <w:pPr>
        <w:rPr>
          <w:b/>
          <w:sz w:val="22"/>
          <w:szCs w:val="22"/>
        </w:rPr>
      </w:pPr>
    </w:p>
    <w:p w:rsidR="003611C0" w:rsidRDefault="003611C0" w:rsidP="003611C0">
      <w:pPr>
        <w:rPr>
          <w:sz w:val="22"/>
          <w:szCs w:val="22"/>
        </w:rPr>
      </w:pPr>
      <w:r w:rsidRPr="00871CBC">
        <w:rPr>
          <w:b/>
          <w:sz w:val="22"/>
          <w:szCs w:val="22"/>
        </w:rPr>
        <w:t>Alternative Fuel Infrastructure</w:t>
      </w:r>
      <w:r>
        <w:rPr>
          <w:sz w:val="22"/>
          <w:szCs w:val="22"/>
        </w:rPr>
        <w:t>:</w:t>
      </w:r>
    </w:p>
    <w:p w:rsidR="003269E5" w:rsidRDefault="003611C0" w:rsidP="003611C0">
      <w:pPr>
        <w:rPr>
          <w:sz w:val="22"/>
          <w:szCs w:val="22"/>
        </w:rPr>
      </w:pPr>
      <w:r w:rsidRPr="00996C88">
        <w:rPr>
          <w:color w:val="000000"/>
          <w:sz w:val="22"/>
          <w:szCs w:val="22"/>
        </w:rPr>
        <w:t>Use this table as a summary</w:t>
      </w:r>
      <w:r>
        <w:rPr>
          <w:color w:val="000000"/>
          <w:sz w:val="22"/>
          <w:szCs w:val="22"/>
        </w:rPr>
        <w:t xml:space="preserve">. If you need to include additional cost classifications and </w:t>
      </w:r>
      <w:r w:rsidR="008B3065">
        <w:rPr>
          <w:color w:val="000000"/>
          <w:sz w:val="22"/>
          <w:szCs w:val="22"/>
        </w:rPr>
        <w:t>budget detail</w:t>
      </w:r>
      <w:r>
        <w:rPr>
          <w:color w:val="000000"/>
          <w:sz w:val="22"/>
          <w:szCs w:val="22"/>
        </w:rPr>
        <w:t xml:space="preserve">, please modify this budget summary, as necessary. All infrastructure project budgets must be supported </w:t>
      </w:r>
      <w:r w:rsidRPr="003611C0">
        <w:rPr>
          <w:sz w:val="22"/>
          <w:szCs w:val="22"/>
        </w:rPr>
        <w:t xml:space="preserve">by itemized price quotes </w:t>
      </w:r>
      <w:r>
        <w:rPr>
          <w:sz w:val="22"/>
          <w:szCs w:val="22"/>
        </w:rPr>
        <w:t>to</w:t>
      </w:r>
      <w:r w:rsidRPr="003611C0">
        <w:rPr>
          <w:sz w:val="22"/>
          <w:szCs w:val="22"/>
        </w:rPr>
        <w:t xml:space="preserve"> be submitted as supporting documentation. </w:t>
      </w:r>
      <w:r w:rsidR="00F407B3">
        <w:rPr>
          <w:sz w:val="22"/>
          <w:szCs w:val="22"/>
        </w:rPr>
        <w:t xml:space="preserve"> </w:t>
      </w:r>
    </w:p>
    <w:p w:rsidR="003269E5" w:rsidRDefault="003269E5" w:rsidP="003611C0">
      <w:pPr>
        <w:rPr>
          <w:sz w:val="22"/>
          <w:szCs w:val="22"/>
        </w:rPr>
      </w:pPr>
    </w:p>
    <w:p w:rsidR="003611C0" w:rsidRDefault="003269E5" w:rsidP="003611C0">
      <w:pPr>
        <w:rPr>
          <w:sz w:val="22"/>
          <w:szCs w:val="22"/>
        </w:rPr>
      </w:pPr>
      <w:r>
        <w:rPr>
          <w:sz w:val="22"/>
          <w:szCs w:val="22"/>
        </w:rPr>
        <w:t xml:space="preserve">This table is for fueling/charging infrastructure only. </w:t>
      </w:r>
      <w:r w:rsidRPr="00584343">
        <w:rPr>
          <w:b/>
          <w:sz w:val="22"/>
          <w:szCs w:val="22"/>
        </w:rPr>
        <w:t>Do not</w:t>
      </w:r>
      <w:r>
        <w:rPr>
          <w:sz w:val="22"/>
          <w:szCs w:val="22"/>
        </w:rPr>
        <w:t xml:space="preserve"> include alternative fuel or hybrid vehicle projects in this budget summary table</w:t>
      </w:r>
      <w:r w:rsidR="00F407B3">
        <w:rPr>
          <w:sz w:val="22"/>
          <w:szCs w:val="22"/>
        </w:rPr>
        <w:t>.</w:t>
      </w:r>
    </w:p>
    <w:p w:rsidR="00584343" w:rsidRDefault="00584343" w:rsidP="003611C0">
      <w:pPr>
        <w:rPr>
          <w:sz w:val="22"/>
          <w:szCs w:val="22"/>
        </w:rPr>
      </w:pPr>
    </w:p>
    <w:tbl>
      <w:tblPr>
        <w:tblStyle w:val="TableGrid"/>
        <w:tblW w:w="0" w:type="auto"/>
        <w:tblInd w:w="108" w:type="dxa"/>
        <w:tblLook w:val="04A0" w:firstRow="1" w:lastRow="0" w:firstColumn="1" w:lastColumn="0" w:noHBand="0" w:noVBand="1"/>
      </w:tblPr>
      <w:tblGrid>
        <w:gridCol w:w="450"/>
        <w:gridCol w:w="4230"/>
        <w:gridCol w:w="1530"/>
        <w:gridCol w:w="2250"/>
        <w:gridCol w:w="2340"/>
      </w:tblGrid>
      <w:tr w:rsidR="003B6ECD" w:rsidRPr="00C53148" w:rsidTr="005A2B34">
        <w:trPr>
          <w:trHeight w:val="576"/>
        </w:trPr>
        <w:tc>
          <w:tcPr>
            <w:tcW w:w="450" w:type="dxa"/>
            <w:vAlign w:val="center"/>
          </w:tcPr>
          <w:p w:rsidR="003611C0" w:rsidRPr="00005513" w:rsidRDefault="003611C0" w:rsidP="005924D0">
            <w:pPr>
              <w:jc w:val="center"/>
              <w:rPr>
                <w:rFonts w:asciiTheme="minorHAnsi" w:hAnsiTheme="minorHAnsi" w:cstheme="minorHAnsi"/>
                <w:b/>
                <w:sz w:val="20"/>
              </w:rPr>
            </w:pPr>
          </w:p>
        </w:tc>
        <w:tc>
          <w:tcPr>
            <w:tcW w:w="4230" w:type="dxa"/>
            <w:shd w:val="clear" w:color="auto" w:fill="C6D9F1" w:themeFill="text2" w:themeFillTint="33"/>
            <w:vAlign w:val="center"/>
          </w:tcPr>
          <w:p w:rsidR="003611C0" w:rsidRPr="00005513" w:rsidRDefault="003611C0" w:rsidP="005924D0">
            <w:pPr>
              <w:jc w:val="center"/>
              <w:rPr>
                <w:rFonts w:asciiTheme="minorHAnsi" w:hAnsiTheme="minorHAnsi" w:cstheme="minorHAnsi"/>
                <w:b/>
                <w:sz w:val="20"/>
              </w:rPr>
            </w:pPr>
            <w:r w:rsidRPr="00005513">
              <w:rPr>
                <w:rFonts w:asciiTheme="minorHAnsi" w:hAnsiTheme="minorHAnsi" w:cstheme="minorHAnsi"/>
                <w:b/>
                <w:sz w:val="20"/>
              </w:rPr>
              <w:t>CONSTRUCTION COST CLASSIFICATION</w:t>
            </w:r>
          </w:p>
        </w:tc>
        <w:tc>
          <w:tcPr>
            <w:tcW w:w="1530" w:type="dxa"/>
            <w:shd w:val="clear" w:color="auto" w:fill="C6D9F1" w:themeFill="text2" w:themeFillTint="33"/>
            <w:vAlign w:val="center"/>
          </w:tcPr>
          <w:p w:rsidR="003611C0" w:rsidRPr="00005513" w:rsidRDefault="003611C0" w:rsidP="005924D0">
            <w:pPr>
              <w:jc w:val="center"/>
              <w:rPr>
                <w:rFonts w:asciiTheme="minorHAnsi" w:hAnsiTheme="minorHAnsi" w:cstheme="minorHAnsi"/>
                <w:b/>
                <w:sz w:val="20"/>
              </w:rPr>
            </w:pPr>
            <w:r w:rsidRPr="00005513">
              <w:rPr>
                <w:rFonts w:asciiTheme="minorHAnsi" w:hAnsiTheme="minorHAnsi" w:cstheme="minorHAnsi"/>
                <w:b/>
                <w:sz w:val="20"/>
              </w:rPr>
              <w:t>TOTAL COST</w:t>
            </w:r>
          </w:p>
        </w:tc>
        <w:tc>
          <w:tcPr>
            <w:tcW w:w="2250" w:type="dxa"/>
            <w:shd w:val="clear" w:color="auto" w:fill="C6D9F1" w:themeFill="text2" w:themeFillTint="33"/>
            <w:vAlign w:val="center"/>
          </w:tcPr>
          <w:p w:rsidR="003611C0" w:rsidRPr="00005513" w:rsidRDefault="003611C0" w:rsidP="005924D0">
            <w:pPr>
              <w:jc w:val="center"/>
              <w:rPr>
                <w:rFonts w:asciiTheme="minorHAnsi" w:hAnsiTheme="minorHAnsi" w:cstheme="minorHAnsi"/>
                <w:b/>
                <w:sz w:val="20"/>
              </w:rPr>
            </w:pPr>
            <w:r w:rsidRPr="00005513">
              <w:rPr>
                <w:rFonts w:asciiTheme="minorHAnsi" w:hAnsiTheme="minorHAnsi" w:cstheme="minorHAnsi"/>
                <w:b/>
                <w:sz w:val="20"/>
              </w:rPr>
              <w:t>Local</w:t>
            </w:r>
            <w:r>
              <w:rPr>
                <w:rFonts w:asciiTheme="minorHAnsi" w:hAnsiTheme="minorHAnsi" w:cstheme="minorHAnsi"/>
                <w:b/>
                <w:sz w:val="20"/>
              </w:rPr>
              <w:t xml:space="preserve"> (Applicant)</w:t>
            </w:r>
            <w:r w:rsidRPr="00005513">
              <w:rPr>
                <w:rFonts w:asciiTheme="minorHAnsi" w:hAnsiTheme="minorHAnsi" w:cstheme="minorHAnsi"/>
                <w:b/>
                <w:sz w:val="20"/>
              </w:rPr>
              <w:t xml:space="preserve"> Share</w:t>
            </w:r>
          </w:p>
        </w:tc>
        <w:tc>
          <w:tcPr>
            <w:tcW w:w="2340" w:type="dxa"/>
            <w:shd w:val="clear" w:color="auto" w:fill="C6D9F1" w:themeFill="text2" w:themeFillTint="33"/>
            <w:vAlign w:val="center"/>
          </w:tcPr>
          <w:p w:rsidR="003611C0" w:rsidRPr="00005513" w:rsidRDefault="003611C0" w:rsidP="005924D0">
            <w:pPr>
              <w:jc w:val="center"/>
              <w:rPr>
                <w:rFonts w:asciiTheme="minorHAnsi" w:hAnsiTheme="minorHAnsi" w:cstheme="minorHAnsi"/>
                <w:b/>
                <w:sz w:val="20"/>
              </w:rPr>
            </w:pPr>
            <w:r w:rsidRPr="00005513">
              <w:rPr>
                <w:rFonts w:asciiTheme="minorHAnsi" w:hAnsiTheme="minorHAnsi" w:cstheme="minorHAnsi"/>
                <w:b/>
                <w:sz w:val="20"/>
              </w:rPr>
              <w:t xml:space="preserve">Federal </w:t>
            </w:r>
            <w:r w:rsidR="003B6ECD">
              <w:rPr>
                <w:rFonts w:asciiTheme="minorHAnsi" w:hAnsiTheme="minorHAnsi" w:cstheme="minorHAnsi"/>
                <w:b/>
                <w:sz w:val="20"/>
              </w:rPr>
              <w:t xml:space="preserve">(CMAQ) </w:t>
            </w:r>
            <w:r w:rsidRPr="00005513">
              <w:rPr>
                <w:rFonts w:asciiTheme="minorHAnsi" w:hAnsiTheme="minorHAnsi" w:cstheme="minorHAnsi"/>
                <w:b/>
                <w:sz w:val="20"/>
              </w:rPr>
              <w:t>Share</w:t>
            </w: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Administrative and legal expenses</w:t>
            </w:r>
          </w:p>
        </w:tc>
        <w:tc>
          <w:tcPr>
            <w:tcW w:w="153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000000" w:themeFill="text1"/>
          </w:tcPr>
          <w:p w:rsidR="003611C0" w:rsidRPr="00005513" w:rsidRDefault="003611C0" w:rsidP="005924D0">
            <w:pPr>
              <w:jc w:val="right"/>
              <w:rPr>
                <w:rFonts w:asciiTheme="minorHAnsi" w:hAnsiTheme="minorHAnsi" w:cstheme="minorHAnsi"/>
                <w:sz w:val="20"/>
              </w:rPr>
            </w:pP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Land, structures, rights-of-way, appraisals, etc.</w:t>
            </w:r>
          </w:p>
        </w:tc>
        <w:tc>
          <w:tcPr>
            <w:tcW w:w="1530" w:type="dxa"/>
          </w:tcPr>
          <w:p w:rsidR="003611C0" w:rsidRPr="00005513" w:rsidRDefault="003611C0" w:rsidP="005924D0">
            <w:pPr>
              <w:jc w:val="right"/>
              <w:rPr>
                <w:rFonts w:asciiTheme="minorHAnsi" w:hAnsiTheme="minorHAnsi" w:cstheme="minorHAnsi"/>
                <w:b/>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000000" w:themeFill="text1"/>
          </w:tcPr>
          <w:p w:rsidR="003611C0" w:rsidRPr="00005513" w:rsidRDefault="003611C0" w:rsidP="005924D0">
            <w:pPr>
              <w:jc w:val="right"/>
              <w:rPr>
                <w:rFonts w:asciiTheme="minorHAnsi" w:hAnsiTheme="minorHAnsi" w:cstheme="minorHAnsi"/>
                <w:sz w:val="20"/>
              </w:rPr>
            </w:pP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Architectural and engineering fees</w:t>
            </w:r>
          </w:p>
        </w:tc>
        <w:tc>
          <w:tcPr>
            <w:tcW w:w="1530" w:type="dxa"/>
          </w:tcPr>
          <w:p w:rsidR="003611C0" w:rsidRPr="00005513" w:rsidRDefault="003611C0" w:rsidP="005924D0">
            <w:pPr>
              <w:jc w:val="right"/>
              <w:rPr>
                <w:rFonts w:asciiTheme="minorHAnsi" w:hAnsiTheme="minorHAnsi" w:cstheme="minorHAnsi"/>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000000" w:themeFill="text1"/>
          </w:tcPr>
          <w:p w:rsidR="003611C0" w:rsidRPr="00005513" w:rsidRDefault="003611C0" w:rsidP="005924D0">
            <w:pPr>
              <w:jc w:val="right"/>
              <w:rPr>
                <w:rFonts w:asciiTheme="minorHAnsi" w:hAnsiTheme="minorHAnsi" w:cstheme="minorHAnsi"/>
                <w:sz w:val="20"/>
              </w:rPr>
            </w:pP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Other architectural and engineering fees</w:t>
            </w:r>
          </w:p>
        </w:tc>
        <w:tc>
          <w:tcPr>
            <w:tcW w:w="1530" w:type="dxa"/>
          </w:tcPr>
          <w:p w:rsidR="003611C0" w:rsidRPr="00005513" w:rsidRDefault="003611C0" w:rsidP="005924D0">
            <w:pPr>
              <w:jc w:val="right"/>
              <w:rPr>
                <w:rFonts w:asciiTheme="minorHAnsi" w:hAnsiTheme="minorHAnsi" w:cstheme="minorHAnsi"/>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000000" w:themeFill="text1"/>
          </w:tcPr>
          <w:p w:rsidR="003611C0" w:rsidRPr="00005513" w:rsidRDefault="003611C0" w:rsidP="005924D0">
            <w:pPr>
              <w:jc w:val="right"/>
              <w:rPr>
                <w:rFonts w:asciiTheme="minorHAnsi" w:hAnsiTheme="minorHAnsi" w:cstheme="minorHAnsi"/>
                <w:sz w:val="20"/>
              </w:rPr>
            </w:pP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Project inspection fees</w:t>
            </w:r>
          </w:p>
        </w:tc>
        <w:tc>
          <w:tcPr>
            <w:tcW w:w="1530" w:type="dxa"/>
          </w:tcPr>
          <w:p w:rsidR="003611C0" w:rsidRPr="00005513" w:rsidRDefault="003611C0" w:rsidP="005924D0">
            <w:pPr>
              <w:jc w:val="right"/>
              <w:rPr>
                <w:rFonts w:asciiTheme="minorHAnsi" w:hAnsiTheme="minorHAnsi" w:cstheme="minorHAnsi"/>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000000" w:themeFill="text1"/>
          </w:tcPr>
          <w:p w:rsidR="003611C0" w:rsidRPr="00005513" w:rsidRDefault="003611C0" w:rsidP="005924D0">
            <w:pPr>
              <w:jc w:val="right"/>
              <w:rPr>
                <w:rFonts w:asciiTheme="minorHAnsi" w:hAnsiTheme="minorHAnsi" w:cstheme="minorHAnsi"/>
                <w:sz w:val="20"/>
              </w:rPr>
            </w:pP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Site work</w:t>
            </w:r>
          </w:p>
        </w:tc>
        <w:tc>
          <w:tcPr>
            <w:tcW w:w="1530" w:type="dxa"/>
          </w:tcPr>
          <w:p w:rsidR="003611C0" w:rsidRPr="00005513" w:rsidRDefault="003611C0" w:rsidP="005924D0">
            <w:pPr>
              <w:jc w:val="right"/>
              <w:rPr>
                <w:rFonts w:asciiTheme="minorHAnsi" w:hAnsiTheme="minorHAnsi" w:cstheme="minorHAnsi"/>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000000" w:themeFill="text1"/>
          </w:tcPr>
          <w:p w:rsidR="003611C0" w:rsidRPr="00005513" w:rsidRDefault="003611C0" w:rsidP="005924D0">
            <w:pPr>
              <w:jc w:val="right"/>
              <w:rPr>
                <w:rFonts w:asciiTheme="minorHAnsi" w:hAnsiTheme="minorHAnsi" w:cstheme="minorHAnsi"/>
                <w:sz w:val="20"/>
              </w:rPr>
            </w:pP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Demolition and removal</w:t>
            </w:r>
          </w:p>
        </w:tc>
        <w:tc>
          <w:tcPr>
            <w:tcW w:w="1530" w:type="dxa"/>
          </w:tcPr>
          <w:p w:rsidR="003611C0" w:rsidRPr="00005513" w:rsidRDefault="003611C0" w:rsidP="005924D0">
            <w:pPr>
              <w:jc w:val="right"/>
              <w:rPr>
                <w:rFonts w:asciiTheme="minorHAnsi" w:hAnsiTheme="minorHAnsi" w:cstheme="minorHAnsi"/>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000000" w:themeFill="text1"/>
          </w:tcPr>
          <w:p w:rsidR="003611C0" w:rsidRPr="00005513" w:rsidRDefault="003611C0" w:rsidP="005924D0">
            <w:pPr>
              <w:jc w:val="right"/>
              <w:rPr>
                <w:rFonts w:asciiTheme="minorHAnsi" w:hAnsiTheme="minorHAnsi" w:cstheme="minorHAnsi"/>
                <w:sz w:val="20"/>
              </w:rPr>
            </w:pP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cs="Calibri"/>
                <w:sz w:val="20"/>
              </w:rPr>
              <w:t>Miscellaneous</w:t>
            </w:r>
          </w:p>
        </w:tc>
        <w:tc>
          <w:tcPr>
            <w:tcW w:w="1530" w:type="dxa"/>
          </w:tcPr>
          <w:p w:rsidR="003611C0" w:rsidRPr="00005513" w:rsidRDefault="003611C0" w:rsidP="005924D0">
            <w:pPr>
              <w:jc w:val="right"/>
              <w:rPr>
                <w:rFonts w:asciiTheme="minorHAnsi" w:hAnsiTheme="minorHAnsi" w:cstheme="minorHAnsi"/>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000000" w:themeFill="text1"/>
          </w:tcPr>
          <w:p w:rsidR="003611C0" w:rsidRPr="00005513" w:rsidRDefault="003611C0" w:rsidP="005924D0">
            <w:pPr>
              <w:jc w:val="right"/>
              <w:rPr>
                <w:rFonts w:asciiTheme="minorHAnsi" w:hAnsiTheme="minorHAnsi" w:cstheme="minorHAnsi"/>
                <w:sz w:val="20"/>
              </w:rPr>
            </w:pP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cs="Calibri"/>
                <w:sz w:val="20"/>
              </w:rPr>
              <w:t>Construction</w:t>
            </w:r>
          </w:p>
        </w:tc>
        <w:tc>
          <w:tcPr>
            <w:tcW w:w="1530" w:type="dxa"/>
          </w:tcPr>
          <w:p w:rsidR="003611C0" w:rsidRPr="00005513" w:rsidRDefault="003611C0" w:rsidP="005924D0">
            <w:pPr>
              <w:jc w:val="right"/>
              <w:rPr>
                <w:rFonts w:asciiTheme="minorHAnsi" w:hAnsiTheme="minorHAnsi" w:cstheme="minorHAnsi"/>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cs="Calibri"/>
                <w:sz w:val="20"/>
              </w:rPr>
              <w:t>Equipment</w:t>
            </w:r>
          </w:p>
        </w:tc>
        <w:tc>
          <w:tcPr>
            <w:tcW w:w="1530" w:type="dxa"/>
          </w:tcPr>
          <w:p w:rsidR="003611C0" w:rsidRPr="00005513" w:rsidRDefault="003611C0" w:rsidP="005924D0">
            <w:pPr>
              <w:jc w:val="right"/>
              <w:rPr>
                <w:rFonts w:asciiTheme="minorHAnsi" w:hAnsiTheme="minorHAnsi" w:cstheme="minorHAnsi"/>
                <w:sz w:val="20"/>
              </w:rPr>
            </w:pPr>
            <w:r w:rsidRPr="00005513">
              <w:rPr>
                <w:rFonts w:cs="Calibr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auto"/>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b/>
                <w:sz w:val="20"/>
              </w:rPr>
            </w:pPr>
            <w:r w:rsidRPr="00005513">
              <w:rPr>
                <w:rFonts w:asciiTheme="minorHAnsi" w:hAnsiTheme="minorHAnsi" w:cstheme="minorHAnsi"/>
                <w:b/>
                <w:sz w:val="20"/>
              </w:rPr>
              <w:t>SUBTOTAL COSTS</w:t>
            </w:r>
          </w:p>
        </w:tc>
        <w:tc>
          <w:tcPr>
            <w:tcW w:w="1530" w:type="dxa"/>
          </w:tcPr>
          <w:p w:rsidR="003611C0" w:rsidRPr="00005513" w:rsidRDefault="003611C0" w:rsidP="005924D0">
            <w:pPr>
              <w:jc w:val="right"/>
              <w:rPr>
                <w:rFonts w:asciiTheme="minorHAnsi" w:hAnsiTheme="minorHAnsi" w:cstheme="minorHAnsi"/>
                <w:b/>
                <w:sz w:val="20"/>
              </w:rPr>
            </w:pPr>
            <w:r w:rsidRPr="00005513">
              <w:rPr>
                <w:rFonts w:cs="Calibri"/>
                <w:b/>
                <w:sz w:val="20"/>
              </w:rPr>
              <w:t>$00.00</w:t>
            </w:r>
          </w:p>
        </w:tc>
        <w:tc>
          <w:tcPr>
            <w:tcW w:w="2250" w:type="dxa"/>
          </w:tcPr>
          <w:p w:rsidR="003611C0" w:rsidRPr="00005513" w:rsidRDefault="003611C0" w:rsidP="005924D0">
            <w:pPr>
              <w:jc w:val="right"/>
              <w:rPr>
                <w:rFonts w:asciiTheme="minorHAnsi" w:hAnsiTheme="minorHAnsi" w:cstheme="minorHAnsi"/>
                <w:b/>
                <w:sz w:val="20"/>
              </w:rPr>
            </w:pPr>
            <w:r w:rsidRPr="00005513">
              <w:rPr>
                <w:rFonts w:asciiTheme="minorHAnsi" w:hAnsiTheme="minorHAnsi" w:cstheme="minorHAnsi"/>
                <w:b/>
                <w:sz w:val="20"/>
              </w:rPr>
              <w:t>$00.00</w:t>
            </w:r>
          </w:p>
        </w:tc>
        <w:tc>
          <w:tcPr>
            <w:tcW w:w="2340" w:type="dxa"/>
          </w:tcPr>
          <w:p w:rsidR="003611C0" w:rsidRPr="00005513" w:rsidRDefault="003611C0" w:rsidP="005924D0">
            <w:pPr>
              <w:jc w:val="right"/>
              <w:rPr>
                <w:rFonts w:asciiTheme="minorHAnsi" w:hAnsiTheme="minorHAnsi" w:cstheme="minorHAnsi"/>
                <w:b/>
                <w:sz w:val="20"/>
              </w:rPr>
            </w:pPr>
            <w:r w:rsidRPr="00005513">
              <w:rPr>
                <w:rFonts w:asciiTheme="minorHAnsi" w:hAnsiTheme="minorHAnsi" w:cstheme="minorHAnsi"/>
                <w:b/>
                <w:sz w:val="20"/>
              </w:rPr>
              <w:t>$00.00</w:t>
            </w: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Project income</w:t>
            </w:r>
          </w:p>
        </w:tc>
        <w:tc>
          <w:tcPr>
            <w:tcW w:w="153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auto"/>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sz w:val="20"/>
              </w:rPr>
            </w:pPr>
            <w:r w:rsidRPr="00005513">
              <w:rPr>
                <w:rFonts w:asciiTheme="minorHAnsi" w:hAnsiTheme="minorHAnsi" w:cstheme="minorHAnsi"/>
                <w:sz w:val="20"/>
              </w:rPr>
              <w:t>Other awards, incentives, rebates, transferred tax credits or pass-through incentives that will be utilized in this project</w:t>
            </w:r>
          </w:p>
        </w:tc>
        <w:tc>
          <w:tcPr>
            <w:tcW w:w="153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c>
          <w:tcPr>
            <w:tcW w:w="2340" w:type="dxa"/>
            <w:shd w:val="clear" w:color="auto" w:fill="auto"/>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$00.00</w:t>
            </w: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b/>
                <w:sz w:val="20"/>
              </w:rPr>
            </w:pPr>
            <w:r w:rsidRPr="00005513">
              <w:rPr>
                <w:rFonts w:asciiTheme="minorHAnsi" w:hAnsiTheme="minorHAnsi" w:cstheme="minorHAnsi"/>
                <w:b/>
                <w:sz w:val="20"/>
              </w:rPr>
              <w:t>SUBTOTAL INCOME AND INCENTIVES</w:t>
            </w:r>
          </w:p>
        </w:tc>
        <w:tc>
          <w:tcPr>
            <w:tcW w:w="1530" w:type="dxa"/>
          </w:tcPr>
          <w:p w:rsidR="003611C0" w:rsidRPr="00005513" w:rsidRDefault="003611C0" w:rsidP="005924D0">
            <w:pPr>
              <w:jc w:val="right"/>
              <w:rPr>
                <w:rFonts w:asciiTheme="minorHAnsi" w:hAnsiTheme="minorHAnsi" w:cstheme="minorHAnsi"/>
                <w:b/>
                <w:sz w:val="20"/>
              </w:rPr>
            </w:pPr>
            <w:r w:rsidRPr="00005513">
              <w:rPr>
                <w:rFonts w:asciiTheme="minorHAnsi" w:hAnsiTheme="minorHAnsi" w:cstheme="minorHAnsi"/>
                <w:b/>
                <w:color w:val="FF0000"/>
                <w:sz w:val="20"/>
              </w:rPr>
              <w:t>($00.00)</w:t>
            </w:r>
          </w:p>
        </w:tc>
        <w:tc>
          <w:tcPr>
            <w:tcW w:w="2250" w:type="dxa"/>
          </w:tcPr>
          <w:p w:rsidR="003611C0" w:rsidRPr="00005513" w:rsidRDefault="003611C0" w:rsidP="005924D0">
            <w:pPr>
              <w:jc w:val="right"/>
              <w:rPr>
                <w:rFonts w:asciiTheme="minorHAnsi" w:hAnsiTheme="minorHAnsi" w:cstheme="minorHAnsi"/>
                <w:b/>
                <w:sz w:val="20"/>
              </w:rPr>
            </w:pPr>
            <w:r w:rsidRPr="00005513">
              <w:rPr>
                <w:rFonts w:asciiTheme="minorHAnsi" w:hAnsiTheme="minorHAnsi" w:cstheme="minorHAnsi"/>
                <w:b/>
                <w:color w:val="FF0000"/>
                <w:sz w:val="20"/>
              </w:rPr>
              <w:t>($00.00)</w:t>
            </w:r>
          </w:p>
        </w:tc>
        <w:tc>
          <w:tcPr>
            <w:tcW w:w="2340" w:type="dxa"/>
            <w:shd w:val="clear" w:color="auto" w:fill="auto"/>
          </w:tcPr>
          <w:p w:rsidR="003611C0" w:rsidRPr="00005513" w:rsidRDefault="003611C0" w:rsidP="005924D0">
            <w:pPr>
              <w:jc w:val="right"/>
              <w:rPr>
                <w:rFonts w:asciiTheme="minorHAnsi" w:hAnsiTheme="minorHAnsi" w:cstheme="minorHAnsi"/>
                <w:b/>
                <w:sz w:val="20"/>
              </w:rPr>
            </w:pPr>
            <w:r w:rsidRPr="00005513">
              <w:rPr>
                <w:rFonts w:asciiTheme="minorHAnsi" w:hAnsiTheme="minorHAnsi" w:cstheme="minorHAnsi"/>
                <w:b/>
                <w:color w:val="FF0000"/>
                <w:sz w:val="20"/>
              </w:rPr>
              <w:t>($00.00)</w:t>
            </w: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005513" w:rsidRDefault="003611C0" w:rsidP="005924D0">
            <w:pPr>
              <w:rPr>
                <w:rFonts w:asciiTheme="minorHAnsi" w:hAnsiTheme="minorHAnsi" w:cstheme="minorHAnsi"/>
                <w:b/>
                <w:sz w:val="20"/>
              </w:rPr>
            </w:pPr>
            <w:r w:rsidRPr="00005513">
              <w:rPr>
                <w:rFonts w:asciiTheme="minorHAnsi" w:hAnsiTheme="minorHAnsi" w:cstheme="minorHAnsi"/>
                <w:b/>
                <w:sz w:val="20"/>
              </w:rPr>
              <w:t>TOTAL COSTS</w:t>
            </w:r>
          </w:p>
        </w:tc>
        <w:tc>
          <w:tcPr>
            <w:tcW w:w="1530" w:type="dxa"/>
          </w:tcPr>
          <w:p w:rsidR="003611C0" w:rsidRPr="00005513" w:rsidRDefault="003611C0" w:rsidP="005924D0">
            <w:pPr>
              <w:jc w:val="right"/>
              <w:rPr>
                <w:rFonts w:asciiTheme="minorHAnsi" w:hAnsiTheme="minorHAnsi" w:cstheme="minorHAnsi"/>
                <w:b/>
                <w:sz w:val="20"/>
              </w:rPr>
            </w:pPr>
            <w:r w:rsidRPr="00005513">
              <w:rPr>
                <w:rFonts w:asciiTheme="minorHAnsi" w:hAnsiTheme="minorHAnsi" w:cstheme="minorHAnsi"/>
                <w:b/>
                <w:sz w:val="20"/>
              </w:rPr>
              <w:t>$00.00</w:t>
            </w:r>
          </w:p>
        </w:tc>
        <w:tc>
          <w:tcPr>
            <w:tcW w:w="2250" w:type="dxa"/>
          </w:tcPr>
          <w:p w:rsidR="003611C0" w:rsidRPr="00005513" w:rsidRDefault="003611C0" w:rsidP="005924D0">
            <w:pPr>
              <w:jc w:val="right"/>
              <w:rPr>
                <w:rFonts w:asciiTheme="minorHAnsi" w:hAnsiTheme="minorHAnsi" w:cstheme="minorHAnsi"/>
                <w:b/>
                <w:sz w:val="20"/>
              </w:rPr>
            </w:pPr>
            <w:r w:rsidRPr="00005513">
              <w:rPr>
                <w:rFonts w:asciiTheme="minorHAnsi" w:hAnsiTheme="minorHAnsi" w:cstheme="minorHAnsi"/>
                <w:b/>
                <w:sz w:val="20"/>
              </w:rPr>
              <w:t>$00.00</w:t>
            </w:r>
          </w:p>
        </w:tc>
        <w:tc>
          <w:tcPr>
            <w:tcW w:w="2340" w:type="dxa"/>
          </w:tcPr>
          <w:p w:rsidR="003611C0" w:rsidRPr="00005513" w:rsidRDefault="003611C0" w:rsidP="005924D0">
            <w:pPr>
              <w:jc w:val="right"/>
              <w:rPr>
                <w:rFonts w:asciiTheme="minorHAnsi" w:hAnsiTheme="minorHAnsi" w:cstheme="minorHAnsi"/>
                <w:b/>
                <w:sz w:val="20"/>
              </w:rPr>
            </w:pPr>
            <w:r w:rsidRPr="00005513">
              <w:rPr>
                <w:rFonts w:asciiTheme="minorHAnsi" w:hAnsiTheme="minorHAnsi" w:cstheme="minorHAnsi"/>
                <w:b/>
                <w:sz w:val="20"/>
              </w:rPr>
              <w:t>$00.00</w:t>
            </w:r>
          </w:p>
        </w:tc>
      </w:tr>
      <w:tr w:rsidR="003B6ECD" w:rsidRPr="00C53148"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C53148" w:rsidRDefault="003611C0" w:rsidP="005924D0">
            <w:pPr>
              <w:rPr>
                <w:rFonts w:asciiTheme="minorHAnsi" w:hAnsiTheme="minorHAnsi" w:cstheme="minorHAnsi"/>
                <w:sz w:val="22"/>
                <w:szCs w:val="22"/>
              </w:rPr>
            </w:pPr>
            <w:r w:rsidRPr="00C53148">
              <w:rPr>
                <w:rFonts w:asciiTheme="minorHAnsi" w:hAnsiTheme="minorHAnsi" w:cstheme="minorHAnsi"/>
                <w:sz w:val="22"/>
                <w:szCs w:val="22"/>
              </w:rPr>
              <w:t>Local Share</w:t>
            </w:r>
            <w:r w:rsidRPr="00C53148">
              <w:rPr>
                <w:rFonts w:asciiTheme="minorHAnsi" w:hAnsiTheme="minorHAnsi" w:cstheme="minorHAnsi"/>
                <w:sz w:val="22"/>
                <w:szCs w:val="22"/>
                <w:vertAlign w:val="superscript"/>
              </w:rPr>
              <w:t>1</w:t>
            </w:r>
            <w:r>
              <w:rPr>
                <w:rFonts w:asciiTheme="minorHAnsi" w:hAnsiTheme="minorHAnsi" w:cstheme="minorHAnsi"/>
                <w:sz w:val="22"/>
                <w:szCs w:val="22"/>
                <w:vertAlign w:val="superscript"/>
              </w:rPr>
              <w:t xml:space="preserve"> </w:t>
            </w:r>
            <w:r w:rsidRPr="00C53148">
              <w:rPr>
                <w:rFonts w:asciiTheme="minorHAnsi" w:hAnsiTheme="minorHAnsi" w:cstheme="minorHAnsi"/>
                <w:sz w:val="18"/>
                <w:szCs w:val="18"/>
              </w:rPr>
              <w:t>(see Note below. Must equal minimum 20 percent of Total)</w:t>
            </w:r>
          </w:p>
        </w:tc>
        <w:tc>
          <w:tcPr>
            <w:tcW w:w="1530" w:type="dxa"/>
            <w:shd w:val="clear" w:color="auto" w:fill="000000" w:themeFill="text1"/>
          </w:tcPr>
          <w:p w:rsidR="003611C0" w:rsidRPr="00C53148" w:rsidRDefault="003611C0" w:rsidP="005924D0">
            <w:pPr>
              <w:jc w:val="right"/>
              <w:rPr>
                <w:rFonts w:asciiTheme="minorHAnsi" w:hAnsiTheme="minorHAnsi" w:cstheme="minorHAnsi"/>
                <w:sz w:val="22"/>
                <w:szCs w:val="22"/>
              </w:rPr>
            </w:pPr>
          </w:p>
        </w:tc>
        <w:tc>
          <w:tcPr>
            <w:tcW w:w="225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 of Total Costs</w:t>
            </w:r>
          </w:p>
        </w:tc>
        <w:tc>
          <w:tcPr>
            <w:tcW w:w="2340" w:type="dxa"/>
            <w:shd w:val="clear" w:color="auto" w:fill="000000" w:themeFill="text1"/>
          </w:tcPr>
          <w:p w:rsidR="003611C0" w:rsidRPr="00C53148" w:rsidRDefault="003611C0" w:rsidP="005924D0">
            <w:pPr>
              <w:jc w:val="right"/>
              <w:rPr>
                <w:rFonts w:asciiTheme="minorHAnsi" w:hAnsiTheme="minorHAnsi" w:cstheme="minorHAnsi"/>
                <w:sz w:val="22"/>
                <w:szCs w:val="22"/>
              </w:rPr>
            </w:pPr>
          </w:p>
        </w:tc>
      </w:tr>
      <w:tr w:rsidR="003B6ECD" w:rsidRPr="00005513" w:rsidTr="005A2B34">
        <w:tc>
          <w:tcPr>
            <w:tcW w:w="450" w:type="dxa"/>
          </w:tcPr>
          <w:p w:rsidR="003611C0" w:rsidRPr="00005513" w:rsidRDefault="003611C0" w:rsidP="003611C0">
            <w:pPr>
              <w:numPr>
                <w:ilvl w:val="0"/>
                <w:numId w:val="2"/>
              </w:numPr>
              <w:ind w:left="360"/>
              <w:rPr>
                <w:rFonts w:asciiTheme="minorHAnsi" w:hAnsiTheme="minorHAnsi" w:cstheme="minorHAnsi"/>
                <w:sz w:val="20"/>
              </w:rPr>
            </w:pPr>
          </w:p>
        </w:tc>
        <w:tc>
          <w:tcPr>
            <w:tcW w:w="4230" w:type="dxa"/>
          </w:tcPr>
          <w:p w:rsidR="003611C0" w:rsidRPr="00C53148" w:rsidRDefault="003611C0" w:rsidP="005924D0">
            <w:pPr>
              <w:rPr>
                <w:rFonts w:asciiTheme="minorHAnsi" w:hAnsiTheme="minorHAnsi" w:cstheme="minorHAnsi"/>
                <w:sz w:val="22"/>
                <w:szCs w:val="22"/>
              </w:rPr>
            </w:pPr>
            <w:r>
              <w:rPr>
                <w:rFonts w:asciiTheme="minorHAnsi" w:hAnsiTheme="minorHAnsi" w:cstheme="minorHAnsi"/>
                <w:sz w:val="22"/>
                <w:szCs w:val="22"/>
              </w:rPr>
              <w:t>Federal Share</w:t>
            </w:r>
            <w:r>
              <w:rPr>
                <w:rFonts w:asciiTheme="minorHAnsi" w:hAnsiTheme="minorHAnsi" w:cstheme="minorHAnsi"/>
                <w:sz w:val="22"/>
                <w:szCs w:val="22"/>
                <w:vertAlign w:val="superscript"/>
              </w:rPr>
              <w:t xml:space="preserve">1 </w:t>
            </w:r>
            <w:r w:rsidRPr="00C53148">
              <w:rPr>
                <w:rFonts w:asciiTheme="minorHAnsi" w:hAnsiTheme="minorHAnsi" w:cstheme="minorHAnsi"/>
                <w:sz w:val="18"/>
                <w:szCs w:val="18"/>
              </w:rPr>
              <w:t>(see Note below. Cannot exceed 80 percent of Total)</w:t>
            </w:r>
          </w:p>
        </w:tc>
        <w:tc>
          <w:tcPr>
            <w:tcW w:w="1530" w:type="dxa"/>
            <w:shd w:val="clear" w:color="auto" w:fill="000000" w:themeFill="text1"/>
          </w:tcPr>
          <w:p w:rsidR="003611C0" w:rsidRPr="00C53148" w:rsidRDefault="003611C0" w:rsidP="005924D0">
            <w:pPr>
              <w:jc w:val="right"/>
              <w:rPr>
                <w:rFonts w:asciiTheme="minorHAnsi" w:hAnsiTheme="minorHAnsi" w:cstheme="minorHAnsi"/>
                <w:sz w:val="22"/>
                <w:szCs w:val="22"/>
              </w:rPr>
            </w:pPr>
          </w:p>
        </w:tc>
        <w:tc>
          <w:tcPr>
            <w:tcW w:w="2250" w:type="dxa"/>
            <w:shd w:val="clear" w:color="auto" w:fill="000000" w:themeFill="text1"/>
          </w:tcPr>
          <w:p w:rsidR="003611C0" w:rsidRPr="00C53148" w:rsidRDefault="003611C0" w:rsidP="005924D0">
            <w:pPr>
              <w:jc w:val="right"/>
              <w:rPr>
                <w:rFonts w:asciiTheme="minorHAnsi" w:hAnsiTheme="minorHAnsi" w:cstheme="minorHAnsi"/>
                <w:sz w:val="22"/>
                <w:szCs w:val="22"/>
              </w:rPr>
            </w:pPr>
          </w:p>
        </w:tc>
        <w:tc>
          <w:tcPr>
            <w:tcW w:w="2340" w:type="dxa"/>
          </w:tcPr>
          <w:p w:rsidR="003611C0" w:rsidRPr="00005513" w:rsidRDefault="003611C0" w:rsidP="005924D0">
            <w:pPr>
              <w:jc w:val="right"/>
              <w:rPr>
                <w:rFonts w:asciiTheme="minorHAnsi" w:hAnsiTheme="minorHAnsi" w:cstheme="minorHAnsi"/>
                <w:sz w:val="20"/>
              </w:rPr>
            </w:pPr>
            <w:r w:rsidRPr="00005513">
              <w:rPr>
                <w:rFonts w:asciiTheme="minorHAnsi" w:hAnsiTheme="minorHAnsi" w:cstheme="minorHAnsi"/>
                <w:sz w:val="20"/>
              </w:rPr>
              <w:t>% of Total Costs</w:t>
            </w:r>
          </w:p>
        </w:tc>
      </w:tr>
    </w:tbl>
    <w:p w:rsidR="003611C0" w:rsidRPr="008B3065" w:rsidRDefault="003611C0" w:rsidP="003611C0">
      <w:pPr>
        <w:tabs>
          <w:tab w:val="left" w:pos="157"/>
        </w:tabs>
        <w:ind w:left="162" w:hanging="162"/>
        <w:rPr>
          <w:b/>
          <w:sz w:val="22"/>
          <w:szCs w:val="22"/>
        </w:rPr>
      </w:pPr>
      <w:r w:rsidRPr="008B3065">
        <w:rPr>
          <w:b/>
          <w:sz w:val="22"/>
          <w:szCs w:val="22"/>
        </w:rPr>
        <w:t>Note:</w:t>
      </w:r>
    </w:p>
    <w:p w:rsidR="003611C0" w:rsidRPr="00770F06" w:rsidRDefault="003611C0" w:rsidP="00770F06">
      <w:pPr>
        <w:tabs>
          <w:tab w:val="left" w:pos="157"/>
        </w:tabs>
        <w:ind w:left="162" w:hanging="162"/>
        <w:jc w:val="both"/>
        <w:rPr>
          <w:sz w:val="20"/>
        </w:rPr>
      </w:pPr>
      <w:r w:rsidRPr="00770F06">
        <w:rPr>
          <w:sz w:val="20"/>
        </w:rPr>
        <w:t>1</w:t>
      </w:r>
      <w:r w:rsidRPr="00770F06">
        <w:rPr>
          <w:sz w:val="20"/>
        </w:rPr>
        <w:tab/>
        <w:t>Eligible public sector projects can be funded at a ratio of up to 80 percent federal funds and 20 percent local share for installation costs and capital investments in alternative refueling/recharging infrastructure</w:t>
      </w:r>
    </w:p>
    <w:p w:rsidR="003611C0" w:rsidRPr="008B3065" w:rsidRDefault="003611C0" w:rsidP="003611C0">
      <w:pPr>
        <w:rPr>
          <w:rFonts w:cs="Arial"/>
          <w:b/>
          <w:sz w:val="22"/>
          <w:szCs w:val="22"/>
        </w:rPr>
      </w:pPr>
    </w:p>
    <w:p w:rsidR="003611C0" w:rsidRPr="008B3065" w:rsidRDefault="003611C0" w:rsidP="00770F06">
      <w:pPr>
        <w:jc w:val="both"/>
        <w:rPr>
          <w:rFonts w:cs="Arial"/>
          <w:b/>
          <w:sz w:val="22"/>
          <w:szCs w:val="22"/>
        </w:rPr>
      </w:pPr>
      <w:r w:rsidRPr="008B3065">
        <w:rPr>
          <w:rFonts w:cs="Arial"/>
          <w:b/>
          <w:sz w:val="22"/>
          <w:szCs w:val="22"/>
        </w:rPr>
        <w:t>Instructions for completing the Alternative Fuel Infrastructure Project Budget Summary Table</w:t>
      </w:r>
    </w:p>
    <w:p w:rsidR="003611C0" w:rsidRPr="008B3065" w:rsidRDefault="003611C0" w:rsidP="00770F06">
      <w:pPr>
        <w:jc w:val="both"/>
        <w:rPr>
          <w:rFonts w:cs="Arial"/>
          <w:sz w:val="22"/>
          <w:szCs w:val="22"/>
        </w:rPr>
      </w:pPr>
    </w:p>
    <w:p w:rsidR="003611C0" w:rsidRPr="008B3065" w:rsidRDefault="003611C0" w:rsidP="00770F06">
      <w:pPr>
        <w:jc w:val="both"/>
        <w:rPr>
          <w:rFonts w:cs="Arial"/>
          <w:sz w:val="22"/>
          <w:szCs w:val="22"/>
        </w:rPr>
      </w:pPr>
      <w:r w:rsidRPr="008B3065">
        <w:rPr>
          <w:rFonts w:cs="Arial"/>
          <w:sz w:val="22"/>
          <w:szCs w:val="22"/>
        </w:rPr>
        <w:t>Line 1 – Enter estimated amounts needed to cover administrative expenses. Do not include costs which are related to the normal functions of government. Allowable legal costs are generally only those associated with the purchase of land on which the infrastructure project will be constructed and certain services in support of construction of the project.</w:t>
      </w:r>
    </w:p>
    <w:p w:rsidR="003611C0" w:rsidRPr="008B3065" w:rsidRDefault="003611C0" w:rsidP="00770F06">
      <w:pPr>
        <w:jc w:val="both"/>
        <w:rPr>
          <w:rFonts w:cs="Arial"/>
          <w:sz w:val="22"/>
          <w:szCs w:val="22"/>
        </w:rPr>
      </w:pPr>
    </w:p>
    <w:p w:rsidR="003611C0" w:rsidRPr="008B3065" w:rsidRDefault="003611C0" w:rsidP="00770F06">
      <w:pPr>
        <w:jc w:val="both"/>
        <w:rPr>
          <w:rFonts w:cs="Arial"/>
          <w:sz w:val="22"/>
          <w:szCs w:val="22"/>
        </w:rPr>
      </w:pPr>
      <w:r w:rsidRPr="008B3065">
        <w:rPr>
          <w:rFonts w:cs="Arial"/>
          <w:sz w:val="22"/>
          <w:szCs w:val="22"/>
        </w:rPr>
        <w:t>Line 2 – Enter estimated site and right(s)-of-way acquisition costs (this include</w:t>
      </w:r>
      <w:r w:rsidR="003B6ECD" w:rsidRPr="008B3065">
        <w:rPr>
          <w:rFonts w:cs="Arial"/>
          <w:sz w:val="22"/>
          <w:szCs w:val="22"/>
        </w:rPr>
        <w:t>s</w:t>
      </w:r>
      <w:r w:rsidRPr="008B3065">
        <w:rPr>
          <w:rFonts w:cs="Arial"/>
          <w:sz w:val="22"/>
          <w:szCs w:val="22"/>
        </w:rPr>
        <w:t xml:space="preserve"> purchase, lease, and /or easements).</w:t>
      </w:r>
    </w:p>
    <w:p w:rsidR="003611C0" w:rsidRPr="008B3065" w:rsidRDefault="003611C0" w:rsidP="00770F06">
      <w:pPr>
        <w:jc w:val="both"/>
        <w:rPr>
          <w:rFonts w:cs="Arial"/>
          <w:sz w:val="22"/>
          <w:szCs w:val="22"/>
        </w:rPr>
      </w:pPr>
    </w:p>
    <w:p w:rsidR="003611C0" w:rsidRPr="008B3065" w:rsidRDefault="003611C0" w:rsidP="00770F06">
      <w:pPr>
        <w:jc w:val="both"/>
        <w:rPr>
          <w:rFonts w:cs="Arial"/>
          <w:sz w:val="22"/>
          <w:szCs w:val="22"/>
        </w:rPr>
      </w:pPr>
      <w:r w:rsidRPr="008B3065">
        <w:rPr>
          <w:rFonts w:cs="Arial"/>
          <w:sz w:val="22"/>
          <w:szCs w:val="22"/>
        </w:rPr>
        <w:t>Line 3 – Enter estimated basic engineering fees related to construction (this includes start-up services and preparation of project performance work plan).</w:t>
      </w:r>
    </w:p>
    <w:p w:rsidR="003611C0" w:rsidRPr="008B3065" w:rsidRDefault="003611C0" w:rsidP="003611C0">
      <w:pPr>
        <w:rPr>
          <w:rFonts w:cs="Arial"/>
          <w:sz w:val="22"/>
          <w:szCs w:val="22"/>
        </w:rPr>
      </w:pPr>
    </w:p>
    <w:p w:rsidR="003611C0" w:rsidRPr="008B3065" w:rsidRDefault="003611C0" w:rsidP="00770F06">
      <w:pPr>
        <w:jc w:val="both"/>
        <w:rPr>
          <w:rFonts w:cs="Arial"/>
          <w:sz w:val="22"/>
          <w:szCs w:val="22"/>
        </w:rPr>
      </w:pPr>
      <w:r w:rsidRPr="008B3065">
        <w:rPr>
          <w:rFonts w:cs="Arial"/>
          <w:sz w:val="22"/>
          <w:szCs w:val="22"/>
        </w:rPr>
        <w:t>Line 4 – Enter estimated engineering costs such as surveys, tests, soil borings, etc.</w:t>
      </w:r>
    </w:p>
    <w:p w:rsidR="003611C0" w:rsidRPr="008B3065" w:rsidRDefault="003611C0" w:rsidP="00770F06">
      <w:pPr>
        <w:jc w:val="both"/>
        <w:rPr>
          <w:rFonts w:cs="Arial"/>
          <w:sz w:val="22"/>
          <w:szCs w:val="22"/>
        </w:rPr>
      </w:pPr>
    </w:p>
    <w:p w:rsidR="003611C0" w:rsidRPr="008B3065" w:rsidRDefault="003611C0" w:rsidP="00770F06">
      <w:pPr>
        <w:jc w:val="both"/>
        <w:rPr>
          <w:rFonts w:cs="Arial"/>
          <w:sz w:val="22"/>
          <w:szCs w:val="22"/>
        </w:rPr>
      </w:pPr>
      <w:r w:rsidRPr="008B3065">
        <w:rPr>
          <w:rFonts w:cs="Arial"/>
          <w:sz w:val="22"/>
          <w:szCs w:val="22"/>
        </w:rPr>
        <w:t>Line 5 – Enter estimated engineering inspection costs.</w:t>
      </w:r>
    </w:p>
    <w:p w:rsidR="003611C0" w:rsidRPr="008B3065" w:rsidRDefault="003611C0" w:rsidP="00770F06">
      <w:pPr>
        <w:jc w:val="both"/>
        <w:rPr>
          <w:rFonts w:cs="Arial"/>
          <w:sz w:val="22"/>
          <w:szCs w:val="22"/>
        </w:rPr>
      </w:pPr>
    </w:p>
    <w:p w:rsidR="003611C0" w:rsidRPr="008B3065" w:rsidRDefault="003611C0" w:rsidP="00770F06">
      <w:pPr>
        <w:jc w:val="both"/>
        <w:rPr>
          <w:rFonts w:cs="Arial"/>
          <w:sz w:val="22"/>
          <w:szCs w:val="22"/>
        </w:rPr>
      </w:pPr>
      <w:r w:rsidRPr="008B3065">
        <w:rPr>
          <w:rFonts w:cs="Arial"/>
          <w:sz w:val="22"/>
          <w:szCs w:val="22"/>
        </w:rPr>
        <w:lastRenderedPageBreak/>
        <w:t>Line 6 – Enter estimated costs of site preparation and restoration which are not included in the basic construction contract.</w:t>
      </w:r>
    </w:p>
    <w:p w:rsidR="003611C0" w:rsidRPr="008B3065" w:rsidRDefault="003611C0" w:rsidP="00770F06">
      <w:pPr>
        <w:jc w:val="both"/>
        <w:rPr>
          <w:rFonts w:cs="Arial"/>
          <w:sz w:val="22"/>
          <w:szCs w:val="22"/>
        </w:rPr>
      </w:pPr>
    </w:p>
    <w:p w:rsidR="003611C0" w:rsidRPr="008B3065" w:rsidRDefault="003611C0" w:rsidP="00770F06">
      <w:pPr>
        <w:jc w:val="both"/>
        <w:rPr>
          <w:rFonts w:cs="Arial"/>
          <w:sz w:val="22"/>
          <w:szCs w:val="22"/>
        </w:rPr>
      </w:pPr>
      <w:r w:rsidRPr="008B3065">
        <w:rPr>
          <w:sz w:val="22"/>
          <w:szCs w:val="22"/>
        </w:rPr>
        <w:t>Line 8 – Enter estimated miscellaneous costs.</w:t>
      </w:r>
    </w:p>
    <w:p w:rsidR="003611C0" w:rsidRPr="008B3065" w:rsidRDefault="003611C0" w:rsidP="00770F06">
      <w:pPr>
        <w:jc w:val="both"/>
        <w:rPr>
          <w:rFonts w:cs="Arial"/>
          <w:sz w:val="22"/>
          <w:szCs w:val="22"/>
        </w:rPr>
      </w:pPr>
    </w:p>
    <w:p w:rsidR="003611C0" w:rsidRPr="008B3065" w:rsidRDefault="003611C0" w:rsidP="00770F06">
      <w:pPr>
        <w:jc w:val="both"/>
        <w:rPr>
          <w:rFonts w:cs="Arial"/>
          <w:sz w:val="22"/>
          <w:szCs w:val="22"/>
        </w:rPr>
      </w:pPr>
      <w:r w:rsidRPr="008B3065">
        <w:rPr>
          <w:rFonts w:cs="Arial"/>
          <w:sz w:val="22"/>
          <w:szCs w:val="22"/>
        </w:rPr>
        <w:t>Line 9 – Enter estimated costs of the construction contract.</w:t>
      </w:r>
    </w:p>
    <w:p w:rsidR="003611C0" w:rsidRPr="008B3065" w:rsidRDefault="003611C0" w:rsidP="00770F06">
      <w:pPr>
        <w:jc w:val="both"/>
        <w:rPr>
          <w:rFonts w:cs="Arial"/>
          <w:sz w:val="22"/>
          <w:szCs w:val="22"/>
        </w:rPr>
      </w:pPr>
    </w:p>
    <w:p w:rsidR="003B6ECD" w:rsidRPr="008B3065" w:rsidRDefault="003611C0" w:rsidP="00770F06">
      <w:pPr>
        <w:jc w:val="both"/>
        <w:rPr>
          <w:sz w:val="22"/>
          <w:szCs w:val="22"/>
        </w:rPr>
      </w:pPr>
      <w:r w:rsidRPr="008B3065">
        <w:rPr>
          <w:rFonts w:cs="Arial"/>
          <w:sz w:val="22"/>
          <w:szCs w:val="22"/>
        </w:rPr>
        <w:t xml:space="preserve">Line 10 – Enter estimated costs of the equipment defined as </w:t>
      </w:r>
      <w:r w:rsidR="003B6ECD" w:rsidRPr="008B3065">
        <w:rPr>
          <w:rFonts w:cs="Arial"/>
          <w:sz w:val="22"/>
          <w:szCs w:val="22"/>
        </w:rPr>
        <w:t xml:space="preserve">AC </w:t>
      </w:r>
      <w:r w:rsidRPr="008B3065">
        <w:rPr>
          <w:sz w:val="22"/>
          <w:szCs w:val="22"/>
        </w:rPr>
        <w:t xml:space="preserve">Level 2, and </w:t>
      </w:r>
      <w:r w:rsidR="003B6ECD" w:rsidRPr="008B3065">
        <w:rPr>
          <w:sz w:val="22"/>
          <w:szCs w:val="22"/>
        </w:rPr>
        <w:t xml:space="preserve">DC quick charge </w:t>
      </w:r>
      <w:r w:rsidRPr="008B3065">
        <w:rPr>
          <w:sz w:val="22"/>
          <w:szCs w:val="22"/>
        </w:rPr>
        <w:t xml:space="preserve">Level 3 Electric Vehicle Supply Equipment (EVSE) directly related to charging electric batteries in highway-speed, plug-in electric vehicles and to metering electric vehicle fuel usage (in KWh); or equipment directly related to the compression of natural gas, and equipment directly related to the storage, dispensing and metering  </w:t>
      </w:r>
      <w:r w:rsidR="003B6ECD" w:rsidRPr="008B3065">
        <w:rPr>
          <w:sz w:val="22"/>
          <w:szCs w:val="22"/>
        </w:rPr>
        <w:t xml:space="preserve">of compressed natural gas (CNG), </w:t>
      </w:r>
      <w:r w:rsidRPr="008B3065">
        <w:rPr>
          <w:sz w:val="22"/>
          <w:szCs w:val="22"/>
        </w:rPr>
        <w:t>or liquefied propane</w:t>
      </w:r>
      <w:r w:rsidR="003B6ECD" w:rsidRPr="008B3065">
        <w:rPr>
          <w:sz w:val="22"/>
          <w:szCs w:val="22"/>
        </w:rPr>
        <w:t xml:space="preserve"> gas (LPG) into a motor vehicle.</w:t>
      </w:r>
    </w:p>
    <w:p w:rsidR="003611C0" w:rsidRPr="008B3065" w:rsidRDefault="003B6ECD" w:rsidP="00770F06">
      <w:pPr>
        <w:jc w:val="both"/>
        <w:rPr>
          <w:sz w:val="22"/>
          <w:szCs w:val="22"/>
        </w:rPr>
      </w:pPr>
      <w:r w:rsidRPr="008B3065">
        <w:rPr>
          <w:sz w:val="22"/>
          <w:szCs w:val="22"/>
        </w:rPr>
        <w:t xml:space="preserve"> </w:t>
      </w:r>
    </w:p>
    <w:p w:rsidR="003611C0" w:rsidRPr="008B3065" w:rsidRDefault="003611C0" w:rsidP="00770F06">
      <w:pPr>
        <w:jc w:val="both"/>
        <w:rPr>
          <w:sz w:val="22"/>
          <w:szCs w:val="22"/>
        </w:rPr>
      </w:pPr>
      <w:r w:rsidRPr="008B3065">
        <w:rPr>
          <w:sz w:val="22"/>
          <w:szCs w:val="22"/>
        </w:rPr>
        <w:t>Line 11 – Total of items 1 through 10.</w:t>
      </w:r>
    </w:p>
    <w:p w:rsidR="003611C0" w:rsidRPr="008B3065" w:rsidRDefault="003611C0" w:rsidP="00770F06">
      <w:pPr>
        <w:jc w:val="both"/>
        <w:rPr>
          <w:sz w:val="22"/>
          <w:szCs w:val="22"/>
        </w:rPr>
      </w:pPr>
    </w:p>
    <w:p w:rsidR="003611C0" w:rsidRPr="008B3065" w:rsidRDefault="003611C0" w:rsidP="00770F06">
      <w:pPr>
        <w:jc w:val="both"/>
        <w:rPr>
          <w:sz w:val="22"/>
          <w:szCs w:val="22"/>
        </w:rPr>
      </w:pPr>
      <w:r w:rsidRPr="008B3065">
        <w:rPr>
          <w:sz w:val="22"/>
          <w:szCs w:val="22"/>
        </w:rPr>
        <w:t>Line 12 – Enter estimated program income to be earned during the grant periods</w:t>
      </w:r>
      <w:r w:rsidR="003B6ECD" w:rsidRPr="008B3065">
        <w:rPr>
          <w:sz w:val="22"/>
          <w:szCs w:val="22"/>
        </w:rPr>
        <w:t>, i.e. fuel sales at public access stations or percentages of fuel sales that will accrue to the grantee.</w:t>
      </w:r>
    </w:p>
    <w:p w:rsidR="003611C0" w:rsidRPr="008B3065" w:rsidRDefault="003611C0" w:rsidP="00770F06">
      <w:pPr>
        <w:jc w:val="both"/>
        <w:rPr>
          <w:sz w:val="22"/>
          <w:szCs w:val="22"/>
        </w:rPr>
      </w:pPr>
    </w:p>
    <w:p w:rsidR="003611C0" w:rsidRPr="008B3065" w:rsidRDefault="003611C0" w:rsidP="00770F06">
      <w:pPr>
        <w:jc w:val="both"/>
        <w:rPr>
          <w:sz w:val="22"/>
          <w:szCs w:val="22"/>
        </w:rPr>
      </w:pPr>
      <w:r w:rsidRPr="008B3065">
        <w:rPr>
          <w:sz w:val="22"/>
          <w:szCs w:val="22"/>
        </w:rPr>
        <w:t xml:space="preserve">Line 13 – Enter the total dollar amount of all incentives and other awards to be applied to this project. </w:t>
      </w:r>
    </w:p>
    <w:p w:rsidR="003611C0" w:rsidRPr="008B3065" w:rsidRDefault="003611C0" w:rsidP="00770F06">
      <w:pPr>
        <w:jc w:val="both"/>
        <w:rPr>
          <w:sz w:val="22"/>
          <w:szCs w:val="22"/>
        </w:rPr>
      </w:pPr>
    </w:p>
    <w:p w:rsidR="003611C0" w:rsidRPr="008B3065" w:rsidRDefault="003611C0" w:rsidP="00770F06">
      <w:pPr>
        <w:jc w:val="both"/>
        <w:rPr>
          <w:sz w:val="22"/>
          <w:szCs w:val="22"/>
        </w:rPr>
      </w:pPr>
      <w:r w:rsidRPr="008B3065">
        <w:rPr>
          <w:sz w:val="22"/>
          <w:szCs w:val="22"/>
        </w:rPr>
        <w:t>Line 14 – Enter the total of lines 12 and 13.</w:t>
      </w:r>
    </w:p>
    <w:p w:rsidR="003611C0" w:rsidRPr="008B3065" w:rsidRDefault="003611C0" w:rsidP="00770F06">
      <w:pPr>
        <w:jc w:val="both"/>
        <w:rPr>
          <w:sz w:val="22"/>
          <w:szCs w:val="22"/>
        </w:rPr>
      </w:pPr>
    </w:p>
    <w:p w:rsidR="003611C0" w:rsidRDefault="003611C0" w:rsidP="00770F06">
      <w:pPr>
        <w:jc w:val="both"/>
      </w:pPr>
      <w:r w:rsidRPr="008B3065">
        <w:rPr>
          <w:sz w:val="22"/>
          <w:szCs w:val="22"/>
        </w:rPr>
        <w:t>Line 15 – Subtract line 14 from line 11.</w:t>
      </w:r>
    </w:p>
    <w:sectPr w:rsidR="003611C0" w:rsidSect="005A2B34">
      <w:type w:val="continuous"/>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A3298"/>
    <w:multiLevelType w:val="hybridMultilevel"/>
    <w:tmpl w:val="33E8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082206"/>
    <w:multiLevelType w:val="hybridMultilevel"/>
    <w:tmpl w:val="D0D8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C0"/>
    <w:rsid w:val="003269E5"/>
    <w:rsid w:val="003611C0"/>
    <w:rsid w:val="003B6ECD"/>
    <w:rsid w:val="003E634D"/>
    <w:rsid w:val="00584343"/>
    <w:rsid w:val="005A2B34"/>
    <w:rsid w:val="005C3205"/>
    <w:rsid w:val="00770F06"/>
    <w:rsid w:val="007B28FA"/>
    <w:rsid w:val="008B3065"/>
    <w:rsid w:val="009C132F"/>
    <w:rsid w:val="00B01AC2"/>
    <w:rsid w:val="00D82A32"/>
    <w:rsid w:val="00DB2A22"/>
    <w:rsid w:val="00F407B3"/>
    <w:rsid w:val="00FA443F"/>
    <w:rsid w:val="00FA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C0"/>
    <w:pPr>
      <w:widowControl w:val="0"/>
      <w:spacing w:after="0" w:line="240" w:lineRule="auto"/>
    </w:pPr>
    <w:rPr>
      <w:rFonts w:ascii="Calibri" w:hAnsi="Calibri" w:cs="Times New Roman"/>
      <w:snapToGrid w:val="0"/>
      <w:sz w:val="24"/>
      <w:szCs w:val="20"/>
    </w:rPr>
  </w:style>
  <w:style w:type="paragraph" w:styleId="Heading2">
    <w:name w:val="heading 2"/>
    <w:basedOn w:val="Normal"/>
    <w:next w:val="Normal"/>
    <w:link w:val="Heading2Char"/>
    <w:autoRedefine/>
    <w:qFormat/>
    <w:rsid w:val="003E634D"/>
    <w:pPr>
      <w:keepNext/>
      <w:tabs>
        <w:tab w:val="center" w:pos="4680"/>
      </w:tabs>
      <w:outlineLvl w:val="1"/>
    </w:pPr>
    <w:rPr>
      <w:b/>
      <w:caps/>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Release">
    <w:name w:val="News Release"/>
    <w:basedOn w:val="Normal"/>
    <w:link w:val="NewsReleaseChar"/>
    <w:qFormat/>
    <w:rsid w:val="00D82A32"/>
    <w:pPr>
      <w:spacing w:before="120" w:line="300" w:lineRule="auto"/>
    </w:pPr>
  </w:style>
  <w:style w:type="character" w:customStyle="1" w:styleId="NewsReleaseChar">
    <w:name w:val="News Release Char"/>
    <w:basedOn w:val="DefaultParagraphFont"/>
    <w:link w:val="NewsRelease"/>
    <w:rsid w:val="00D82A32"/>
    <w:rPr>
      <w:sz w:val="24"/>
    </w:rPr>
  </w:style>
  <w:style w:type="character" w:customStyle="1" w:styleId="Heading2Char">
    <w:name w:val="Heading 2 Char"/>
    <w:basedOn w:val="DefaultParagraphFont"/>
    <w:link w:val="Heading2"/>
    <w:rsid w:val="003E634D"/>
    <w:rPr>
      <w:rFonts w:ascii="Calibri" w:hAnsi="Calibri" w:cs="Times New Roman"/>
      <w:b/>
      <w:caps/>
      <w:snapToGrid w:val="0"/>
      <w:color w:val="1F497D" w:themeColor="text2"/>
      <w:sz w:val="32"/>
      <w:szCs w:val="32"/>
    </w:rPr>
  </w:style>
  <w:style w:type="table" w:styleId="TableGrid">
    <w:name w:val="Table Grid"/>
    <w:basedOn w:val="TableNormal"/>
    <w:uiPriority w:val="59"/>
    <w:rsid w:val="003611C0"/>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C0"/>
    <w:pPr>
      <w:widowControl w:val="0"/>
      <w:spacing w:after="0" w:line="240" w:lineRule="auto"/>
    </w:pPr>
    <w:rPr>
      <w:rFonts w:ascii="Calibri" w:hAnsi="Calibri" w:cs="Times New Roman"/>
      <w:snapToGrid w:val="0"/>
      <w:sz w:val="24"/>
      <w:szCs w:val="20"/>
    </w:rPr>
  </w:style>
  <w:style w:type="paragraph" w:styleId="Heading2">
    <w:name w:val="heading 2"/>
    <w:basedOn w:val="Normal"/>
    <w:next w:val="Normal"/>
    <w:link w:val="Heading2Char"/>
    <w:autoRedefine/>
    <w:qFormat/>
    <w:rsid w:val="003E634D"/>
    <w:pPr>
      <w:keepNext/>
      <w:tabs>
        <w:tab w:val="center" w:pos="4680"/>
      </w:tabs>
      <w:outlineLvl w:val="1"/>
    </w:pPr>
    <w:rPr>
      <w:b/>
      <w:caps/>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Release">
    <w:name w:val="News Release"/>
    <w:basedOn w:val="Normal"/>
    <w:link w:val="NewsReleaseChar"/>
    <w:qFormat/>
    <w:rsid w:val="00D82A32"/>
    <w:pPr>
      <w:spacing w:before="120" w:line="300" w:lineRule="auto"/>
    </w:pPr>
  </w:style>
  <w:style w:type="character" w:customStyle="1" w:styleId="NewsReleaseChar">
    <w:name w:val="News Release Char"/>
    <w:basedOn w:val="DefaultParagraphFont"/>
    <w:link w:val="NewsRelease"/>
    <w:rsid w:val="00D82A32"/>
    <w:rPr>
      <w:sz w:val="24"/>
    </w:rPr>
  </w:style>
  <w:style w:type="character" w:customStyle="1" w:styleId="Heading2Char">
    <w:name w:val="Heading 2 Char"/>
    <w:basedOn w:val="DefaultParagraphFont"/>
    <w:link w:val="Heading2"/>
    <w:rsid w:val="003E634D"/>
    <w:rPr>
      <w:rFonts w:ascii="Calibri" w:hAnsi="Calibri" w:cs="Times New Roman"/>
      <w:b/>
      <w:caps/>
      <w:snapToGrid w:val="0"/>
      <w:color w:val="1F497D" w:themeColor="text2"/>
      <w:sz w:val="32"/>
      <w:szCs w:val="32"/>
    </w:rPr>
  </w:style>
  <w:style w:type="table" w:styleId="TableGrid">
    <w:name w:val="Table Grid"/>
    <w:basedOn w:val="TableNormal"/>
    <w:uiPriority w:val="59"/>
    <w:rsid w:val="003611C0"/>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Anderson</dc:creator>
  <cp:lastModifiedBy>Yvonne Anderson</cp:lastModifiedBy>
  <cp:revision>2</cp:revision>
  <dcterms:created xsi:type="dcterms:W3CDTF">2014-06-24T17:57:00Z</dcterms:created>
  <dcterms:modified xsi:type="dcterms:W3CDTF">2014-06-24T17:57:00Z</dcterms:modified>
</cp:coreProperties>
</file>